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D" w:rsidRDefault="00B22E6D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408.5pt;margin-top:-32.85pt;width:165.45pt;height:45.1pt;z-index:251658240;visibility:visible" filled="f" stroked="f">
            <v:textbox>
              <w:txbxContent>
                <w:p w:rsidR="00B22E6D" w:rsidRDefault="00B22E6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  <w:lang w:val="es-ES"/>
                    </w:rPr>
                    <w:t>08/01/2018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style="position:absolute;margin-left:12.05pt;margin-top:-61.15pt;width:142.9pt;height:101pt;z-index:251653120;visibility:visible">
            <v:imagedata r:id="rId7" o:title=""/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shape id="_x0000_s1029" type="#_x0000_t202" style="position:absolute;margin-left:183.6pt;margin-top:6pt;width:204pt;height:155.6pt;z-index:251659264;visibility:visible" filled="f" stroked="f">
            <v:textbox style="mso-fit-shape-to-text:t">
              <w:txbxContent>
                <w:p w:rsidR="00B22E6D" w:rsidRDefault="00B22E6D">
                  <w:pPr>
                    <w:jc w:val="center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  <w:color w:val="231F20"/>
                      <w:spacing w:val="-1"/>
                      <w:position w:val="1"/>
                      <w:sz w:val="44"/>
                      <w:szCs w:val="44"/>
                      <w:lang w:val="es-ES"/>
                    </w:rPr>
                    <w:t>A</w:t>
                  </w:r>
                  <w:r>
                    <w:rPr>
                      <w:rFonts w:ascii="Century Gothic" w:hAnsi="Century Gothic" w:cs="Century Gothic"/>
                      <w:color w:val="231F20"/>
                      <w:position w:val="1"/>
                      <w:sz w:val="44"/>
                      <w:szCs w:val="44"/>
                      <w:lang w:val="es-ES"/>
                    </w:rPr>
                    <w:t>nálisis B</w:t>
                  </w:r>
                  <w:r>
                    <w:rPr>
                      <w:rFonts w:ascii="Century Gothic" w:hAnsi="Century Gothic" w:cs="Century Gothic"/>
                      <w:color w:val="231F20"/>
                      <w:spacing w:val="-4"/>
                      <w:position w:val="1"/>
                      <w:sz w:val="44"/>
                      <w:szCs w:val="44"/>
                      <w:lang w:val="es-ES"/>
                    </w:rPr>
                    <w:t>r</w:t>
                  </w:r>
                  <w:r>
                    <w:rPr>
                      <w:rFonts w:ascii="Century Gothic" w:hAnsi="Century Gothic" w:cs="Century Gothic"/>
                      <w:color w:val="231F20"/>
                      <w:position w:val="1"/>
                      <w:sz w:val="44"/>
                      <w:szCs w:val="44"/>
                      <w:lang w:val="es-ES"/>
                    </w:rPr>
                    <w:t>e</w:t>
                  </w:r>
                  <w:r>
                    <w:rPr>
                      <w:rFonts w:ascii="Century Gothic" w:hAnsi="Century Gothic" w:cs="Century Gothic"/>
                      <w:color w:val="231F20"/>
                      <w:spacing w:val="-2"/>
                      <w:position w:val="1"/>
                      <w:sz w:val="44"/>
                      <w:szCs w:val="44"/>
                      <w:lang w:val="es-ES"/>
                    </w:rPr>
                    <w:t>n</w:t>
                  </w:r>
                  <w:r>
                    <w:rPr>
                      <w:rFonts w:ascii="Century Gothic" w:hAnsi="Century Gothic" w:cs="Century Gothic"/>
                      <w:color w:val="231F20"/>
                      <w:position w:val="1"/>
                      <w:sz w:val="44"/>
                      <w:szCs w:val="44"/>
                      <w:lang w:val="es-ES"/>
                    </w:rPr>
                    <w:t>t/</w:t>
                  </w:r>
                  <w:r>
                    <w:rPr>
                      <w:rFonts w:ascii="Century Gothic" w:hAnsi="Century Gothic" w:cs="Century Gothic"/>
                      <w:color w:val="231F20"/>
                      <w:spacing w:val="4"/>
                      <w:position w:val="1"/>
                      <w:sz w:val="44"/>
                      <w:szCs w:val="44"/>
                      <w:lang w:val="es-ES"/>
                    </w:rPr>
                    <w:t>G</w:t>
                  </w:r>
                  <w:r>
                    <w:rPr>
                      <w:rFonts w:ascii="Century Gothic" w:hAnsi="Century Gothic" w:cs="Century Gothic"/>
                      <w:color w:val="231F20"/>
                      <w:position w:val="1"/>
                      <w:sz w:val="44"/>
                      <w:szCs w:val="44"/>
                      <w:lang w:val="es-ES"/>
                    </w:rPr>
                    <w:t>as</w:t>
                  </w:r>
                </w:p>
              </w:txbxContent>
            </v:textbox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shape id="Picture 68" o:spid="_x0000_s1030" type="#_x0000_t75" style="position:absolute;margin-left:11.85pt;margin-top:.4pt;width:61.45pt;height:60.75pt;z-index:251662336;visibility:visible">
            <v:imagedata r:id="rId8" o:title=""/>
          </v:shape>
        </w:pict>
      </w:r>
      <w:r>
        <w:rPr>
          <w:noProof/>
          <w:lang w:val="es-ES" w:eastAsia="es-ES"/>
        </w:rPr>
        <w:pict>
          <v:shape id="_x0000_s1031" type="#_x0000_t202" style="position:absolute;margin-left:76.35pt;margin-top:7.75pt;width:89.2pt;height:155.6pt;z-index:251663360;visibility:visible" filled="f" stroked="f">
            <v:textbox style="mso-fit-shape-to-text:t">
              <w:txbxContent>
                <w:p w:rsidR="00B22E6D" w:rsidRDefault="00B22E6D">
                  <w:pPr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36"/>
                      <w:szCs w:val="36"/>
                    </w:rPr>
                    <w:t>MACRO</w:t>
                  </w:r>
                </w:p>
              </w:txbxContent>
            </v:textbox>
          </v:shape>
        </w:pict>
      </w:r>
    </w:p>
    <w:p w:rsidR="00B22E6D" w:rsidRDefault="00B22E6D">
      <w:pPr>
        <w:spacing w:after="0"/>
        <w:rPr>
          <w:rFonts w:ascii="Times New Roman" w:hAnsi="Times New Roman" w:cs="Times New Roman"/>
        </w:rPr>
        <w:sectPr w:rsidR="00B22E6D">
          <w:headerReference w:type="default" r:id="rId9"/>
          <w:type w:val="continuous"/>
          <w:pgSz w:w="11920" w:h="16840"/>
          <w:pgMar w:top="1000" w:right="1680" w:bottom="280" w:left="40" w:header="188" w:footer="720" w:gutter="0"/>
          <w:cols w:space="720"/>
        </w:sectPr>
      </w:pPr>
    </w:p>
    <w:p w:rsidR="00B22E6D" w:rsidRDefault="00B22E6D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roundrect id="75 Rectángulo redondeado" o:spid="_x0000_s1032" style="position:absolute;margin-left:37.2pt;margin-top:2pt;width:519.1pt;height:257.35pt;z-index:251661312;visibility:visible;v-text-anchor:middle" arcsize="5534f" filled="f" strokecolor="#a5a5a5" strokeweight="14pt"/>
        </w:pict>
      </w:r>
    </w:p>
    <w:p w:rsidR="00B22E6D" w:rsidRDefault="00B22E6D">
      <w:pPr>
        <w:spacing w:after="0" w:line="500" w:lineRule="exact"/>
        <w:ind w:left="1440" w:right="-103"/>
        <w:rPr>
          <w:sz w:val="42"/>
          <w:szCs w:val="42"/>
          <w:lang w:val="es-ES"/>
        </w:rPr>
      </w:pPr>
      <w:r>
        <w:rPr>
          <w:noProof/>
          <w:lang w:val="es-ES" w:eastAsia="es-ES"/>
        </w:rPr>
        <w:pict>
          <v:shape id="_x0000_s1033" type="#_x0000_t202" style="position:absolute;left:0;text-align:left;margin-left:58.35pt;margin-top:3.15pt;width:478pt;height:243.4pt;z-index:251655168;visibility:visible" filled="f" stroked="f">
            <v:textbox>
              <w:txbxContent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El tipo de cambio $/€ cierra a día 04/01/15 a 1.2044 $/€, aumentando un 0.4% con respecto al valor de la semana pasada (29/12/17 a 1.1996 $/€). Por otra parte, el tipo de cambio £/€ ha aumentado un 0.2% pasando de 0.8883 £/€ el día 29/12/2017 a 0.8901 £/€.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-Identity-H" w:hAnsi="Calibri-Identity-H" w:cs="Calibri-Identity-H"/>
                      <w:lang w:val="es-ES"/>
                    </w:rPr>
                  </w:pPr>
                </w:p>
              </w:txbxContent>
            </v:textbox>
          </v:shape>
        </w:pict>
      </w:r>
    </w:p>
    <w:p w:rsidR="00B22E6D" w:rsidRDefault="00B22E6D">
      <w:pPr>
        <w:spacing w:after="0" w:line="518" w:lineRule="exact"/>
        <w:ind w:right="-20"/>
        <w:rPr>
          <w:sz w:val="44"/>
          <w:szCs w:val="44"/>
          <w:lang w:val="es-ES"/>
        </w:rPr>
      </w:pPr>
      <w:r>
        <w:rPr>
          <w:rFonts w:ascii="Times New Roman" w:hAnsi="Times New Roman" w:cs="Times New Roman"/>
          <w:lang w:val="es-ES"/>
        </w:rPr>
        <w:br w:type="column"/>
      </w:r>
    </w:p>
    <w:p w:rsidR="00B22E6D" w:rsidRDefault="00B22E6D">
      <w:pPr>
        <w:spacing w:after="0"/>
        <w:rPr>
          <w:rFonts w:ascii="Times New Roman" w:hAnsi="Times New Roman" w:cs="Times New Roman"/>
          <w:lang w:val="es-ES"/>
        </w:rPr>
        <w:sectPr w:rsidR="00B22E6D">
          <w:type w:val="continuous"/>
          <w:pgSz w:w="11920" w:h="16840"/>
          <w:pgMar w:top="1000" w:right="1680" w:bottom="280" w:left="40" w:header="720" w:footer="720" w:gutter="0"/>
          <w:cols w:num="2" w:space="720" w:equalWidth="0">
            <w:col w:w="2991" w:space="1212"/>
            <w:col w:w="5997"/>
          </w:cols>
        </w:sect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group id="87 Grupo" o:spid="_x0000_s1034" style="position:absolute;margin-left:31.85pt;margin-top:7.8pt;width:524.85pt;height:410.5pt;z-index:251652096" coordsize="66660,47016">
            <v:roundrect id="86 Rectángulo redondeado" o:spid="_x0000_s1035" style="position:absolute;left:728;top:4045;width:65932;height:42971;visibility:visible;v-text-anchor:middle" arcsize="5534f" filled="f" strokecolor="#a5a5a5" strokeweight="14pt"/>
            <v:shape id="Picture 64" o:spid="_x0000_s1036" type="#_x0000_t75" style="position:absolute;width:5340;height:7120;visibility:visible">
              <v:imagedata r:id="rId10" o:title="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t>00</w:t>
      </w:r>
      <w:r>
        <w:rPr>
          <w:noProof/>
          <w:lang w:val="es-ES" w:eastAsia="es-ES"/>
        </w:rPr>
        <w:pict>
          <v:shape id="_x0000_s1037" type="#_x0000_t202" style="position:absolute;margin-left:55.3pt;margin-top:44.8pt;width:480.35pt;height:434.5pt;z-index:251656192;visibility:visible;mso-position-horizontal-relative:text;mso-position-vertical-relative:text" filled="f" stroked="f">
            <v:textbox>
              <w:txbxContent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es-ES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 xml:space="preserve">El ultimo valor del precio del Brent ICE correspondiente al 05/01/18 ha sido 67.43 $/bbl, +0.56 $/bbl, representa un diferencial con el valor de la semana pasada (66.87 $/bbl) de (+1%). 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En los precios a futuro del Brent a 1 mes, 6 meses y 12 meses vista suben en torno a los 0.5 $/bbl en todo el rango.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El Gobierno de EE.UU. presenta un plan para permitir la exploración de petróleo y gas natural en más del 90% de las aguas estadounidenses. De esta manera se impulsa la extracción de petróleo, que, según las previsiones, alcanzará los 11 millones de barriles diarios en 2018. Esto convertiría a  EE.UU. en el mayor extractor mundial.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8" type="#_x0000_t202" style="position:absolute;margin-left:63.6pt;margin-top:15.75pt;width:89.2pt;height:38.85pt;z-index:251660288;visibility:visible;mso-position-horizontal-relative:text;mso-position-vertical-relative:text" filled="f" stroked="f">
            <v:textbox>
              <w:txbxContent>
                <w:p w:rsidR="00B22E6D" w:rsidRDefault="00B22E6D">
                  <w:pPr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CRUDO</w:t>
                  </w:r>
                </w:p>
              </w:txbxContent>
            </v:textbox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500" w:lineRule="exact"/>
        <w:ind w:left="1573" w:right="-20"/>
        <w:rPr>
          <w:sz w:val="42"/>
          <w:szCs w:val="42"/>
          <w:lang w:val="es-ES"/>
        </w:rPr>
      </w:pPr>
    </w:p>
    <w:p w:rsidR="00B22E6D" w:rsidRDefault="00B22E6D">
      <w:pPr>
        <w:spacing w:after="0"/>
        <w:rPr>
          <w:rFonts w:ascii="Times New Roman" w:hAnsi="Times New Roman" w:cs="Times New Roman"/>
          <w:lang w:val="es-ES"/>
        </w:rPr>
        <w:sectPr w:rsidR="00B22E6D">
          <w:type w:val="continuous"/>
          <w:pgSz w:w="11920" w:h="16840"/>
          <w:pgMar w:top="1000" w:right="1680" w:bottom="280" w:left="40" w:header="720" w:footer="720" w:gutter="0"/>
          <w:cols w:space="720"/>
        </w:sectPr>
      </w:pPr>
    </w:p>
    <w:p w:rsidR="00B22E6D" w:rsidRDefault="00B22E6D">
      <w:pPr>
        <w:spacing w:before="8" w:after="0" w:line="190" w:lineRule="exact"/>
        <w:rPr>
          <w:rFonts w:ascii="Times New Roman" w:hAnsi="Times New Roman" w:cs="Times New Roman"/>
          <w:sz w:val="19"/>
          <w:szCs w:val="19"/>
          <w:lang w:val="es-ES"/>
        </w:rPr>
      </w:pPr>
      <w:r>
        <w:rPr>
          <w:noProof/>
          <w:lang w:val="es-ES" w:eastAsia="es-ES"/>
        </w:rPr>
        <w:pict>
          <v:shape id="_x0000_s1039" type="#_x0000_t75" style="position:absolute;margin-left:12.05pt;margin-top:-61.3pt;width:142.9pt;height:100.95pt;z-index:251654144;visibility:visible">
            <v:imagedata r:id="rId7" o:title=""/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Picture 60" o:spid="_x0000_s1040" type="#_x0000_t75" style="position:absolute;margin-left:11.55pt;margin-top:3pt;width:46.7pt;height:59.2pt;z-index:251664384;visibility:visible">
            <v:imagedata r:id="rId11" o:title=""/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480" w:lineRule="exact"/>
        <w:ind w:left="1605" w:right="-20"/>
        <w:rPr>
          <w:sz w:val="42"/>
          <w:szCs w:val="42"/>
          <w:lang w:val="es-ES"/>
        </w:rPr>
      </w:pPr>
      <w:r>
        <w:rPr>
          <w:noProof/>
          <w:lang w:val="es-ES" w:eastAsia="es-ES"/>
        </w:rPr>
        <w:pict>
          <v:shape id="Freeform 57" o:spid="_x0000_s1041" style="position:absolute;left:0;text-align:left;margin-left:29.2pt;margin-top:19.6pt;width:532.65pt;height:686.0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53,5613" path="m10654,5104r-8,83l10626,5265r-34,73l10547,5405r-55,59l10428,5515r-72,41l10277,5587r-84,19l10103,5613r-9552,l461,5606r-84,-19l298,5556r-72,-41l162,5464r-55,-59l62,5338,28,5265,8,5187,,5104,,509,8,426,28,348,62,275r45,-67l162,149,226,98,298,57,377,26,461,7,551,r9552,l10193,7r84,19l10356,57r72,41l10492,149r55,59l10592,275r34,73l10646,426r8,83l10654,5104xe" filled="f" strokecolor="#b9bdba" strokeweight="15pt">
            <v:path arrowok="t" o:connecttype="custom" o:connectlocs="6765290,23049968;6760210,23178808;6747510,23299887;6725920,23413204;6697345,23517208;6662420,23608793;6621780,23687960;6576060,23751604;6525895,23799725;6472555,23829218;6415405,23840084;349885,23840084;292735,23829218;239395,23799725;189230,23751604;143510,23687960;102870,23608793;67945,23517208;39370,23413204;17780,23299887;5080,23178808;0,23049968;0,15917191;5080,15788351;17780,15667272;39370,15553955;67945,15449952;102870,15358366;143510,15279200;189230,15215556;239395,15167435;292735,15137941;349885,15127075;6415405,15127075;6472555,15137941;6525895,15167435;6576060,15215556;6621780,15279200;6662420,15358366;6697345,15449952;6725920,15553955;6747510,15667272;6760210,15788351;6765290,15917191;6765290,23049968" o:connectangles="0,0,0,0,0,0,0,0,0,0,0,0,0,0,0,0,0,0,0,0,0,0,0,0,0,0,0,0,0,0,0,0,0,0,0,0,0,0,0,0,0,0,0,0,0"/>
          </v:shape>
        </w:pict>
      </w:r>
      <w:r>
        <w:rPr>
          <w:b/>
          <w:bCs/>
          <w:color w:val="231F20"/>
          <w:position w:val="-1"/>
          <w:sz w:val="42"/>
          <w:szCs w:val="42"/>
          <w:lang w:val="es-ES"/>
        </w:rPr>
        <w:t>GAS</w: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2" type="#_x0000_t202" style="position:absolute;margin-left:58pt;margin-top:6.85pt;width:480.35pt;height:363.75pt;z-index:251657216;visibility:visible" filled="f" stroked="f">
            <v:textbox>
              <w:txbxContent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El precio a futuros del TRS (Febrero 18) toma un valor de 22,27 €/MWh a día 04/01/18, siendo inferior al MIBGAS, que se encuentra con un diferencial de 1,88 €/MWh por encima del primero. El diferencial con respecto a la semana pasada ha disminuido 0,57 €/MWh.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>El precio a futuros Febrero 18 de MIBGAS el día 04/01/18 es de 24,15 €/MWh, siendo el precio equivalente de TTF 19,21 €/MWh. El Premium entre ambos valores es 4,95 €/MWh, bajando respecto al valor de la semana pasada 0,25 €/MWh.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  <w:t xml:space="preserve">                </w:t>
                  </w: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  <w:lang w:val="es-ES_tradnl"/>
                    </w:rPr>
                  </w:pPr>
                </w:p>
                <w:p w:rsidR="00B22E6D" w:rsidRDefault="00B22E6D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 xml:space="preserve">  </w:t>
                  </w:r>
                  <w:r>
                    <w:rPr>
                      <w:noProof/>
                      <w:sz w:val="18"/>
                      <w:szCs w:val="18"/>
                      <w:lang w:val="es-ES" w:eastAsia="es-ES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B22E6D" w:rsidRDefault="00B22E6D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22E6D" w:rsidRDefault="00B22E6D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22E6D" w:rsidRDefault="00B22E6D">
      <w:pPr>
        <w:tabs>
          <w:tab w:val="left" w:pos="6375"/>
        </w:tabs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B22E6D" w:rsidRDefault="00B22E6D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22E6D" w:rsidRDefault="00B22E6D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22E6D" w:rsidRDefault="00B22E6D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B22E6D" w:rsidRDefault="00B22E6D">
      <w:pPr>
        <w:ind w:left="1440" w:firstLine="720"/>
        <w:rPr>
          <w:b/>
          <w:bCs/>
          <w:color w:val="231F20"/>
          <w:spacing w:val="-13"/>
          <w:sz w:val="42"/>
          <w:szCs w:val="42"/>
        </w:rPr>
      </w:pPr>
      <w:r>
        <w:t xml:space="preserve">    </w:t>
      </w:r>
      <w:r>
        <w:rPr>
          <w:rFonts w:ascii="Times New Roman" w:hAnsi="Times New Roman" w:cs="Times New Roman"/>
          <w:noProof/>
          <w:lang w:val="es-ES" w:eastAsia="es-ES"/>
        </w:rPr>
        <w:pict>
          <v:shape id="Imagen 68" o:spid="_x0000_i1025" type="#_x0000_t75" style="width:477.75pt;height:199.5pt;visibility:visible">
            <v:imagedata r:id="rId12" o:title=""/>
          </v:shape>
        </w:pict>
      </w:r>
      <w:r>
        <w:t xml:space="preserve">                 </w:t>
      </w:r>
    </w:p>
    <w:sectPr w:rsidR="00B22E6D" w:rsidSect="00B22E6D">
      <w:pgSz w:w="11920" w:h="16840"/>
      <w:pgMar w:top="1000" w:right="1680" w:bottom="280" w:left="40" w:header="1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6D" w:rsidRDefault="00B22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2E6D" w:rsidRDefault="00B22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6D" w:rsidRDefault="00B22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2E6D" w:rsidRDefault="00B22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6D" w:rsidRDefault="00B22E6D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.15pt;margin-top:-337.15pt;width:488.15pt;height:344.9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8E"/>
    <w:multiLevelType w:val="hybridMultilevel"/>
    <w:tmpl w:val="1972B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556E92"/>
    <w:multiLevelType w:val="hybridMultilevel"/>
    <w:tmpl w:val="3D649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4D6FBC"/>
    <w:multiLevelType w:val="hybridMultilevel"/>
    <w:tmpl w:val="5D0AC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942F3D"/>
    <w:multiLevelType w:val="hybridMultilevel"/>
    <w:tmpl w:val="20BE6A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3E3C0D"/>
    <w:multiLevelType w:val="hybridMultilevel"/>
    <w:tmpl w:val="E6B0B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CD693B"/>
    <w:multiLevelType w:val="hybridMultilevel"/>
    <w:tmpl w:val="642C82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7A1FA4"/>
    <w:multiLevelType w:val="hybridMultilevel"/>
    <w:tmpl w:val="32BE0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3514A6"/>
    <w:multiLevelType w:val="hybridMultilevel"/>
    <w:tmpl w:val="37867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584D31"/>
    <w:multiLevelType w:val="hybridMultilevel"/>
    <w:tmpl w:val="597429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210850"/>
    <w:multiLevelType w:val="hybridMultilevel"/>
    <w:tmpl w:val="51A49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E20B40"/>
    <w:multiLevelType w:val="hybridMultilevel"/>
    <w:tmpl w:val="D0E43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C65963"/>
    <w:multiLevelType w:val="hybridMultilevel"/>
    <w:tmpl w:val="90FA5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0E3B76"/>
    <w:multiLevelType w:val="hybridMultilevel"/>
    <w:tmpl w:val="A920B2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02C6867"/>
    <w:multiLevelType w:val="hybridMultilevel"/>
    <w:tmpl w:val="075C963A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4">
    <w:nsid w:val="513F1F4A"/>
    <w:multiLevelType w:val="hybridMultilevel"/>
    <w:tmpl w:val="A86CE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1A7227"/>
    <w:multiLevelType w:val="hybridMultilevel"/>
    <w:tmpl w:val="31D8B9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8C4B72"/>
    <w:multiLevelType w:val="hybridMultilevel"/>
    <w:tmpl w:val="43D82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2532ED"/>
    <w:multiLevelType w:val="hybridMultilevel"/>
    <w:tmpl w:val="F4C60882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8">
    <w:nsid w:val="61DD2D85"/>
    <w:multiLevelType w:val="hybridMultilevel"/>
    <w:tmpl w:val="E3585316"/>
    <w:lvl w:ilvl="0" w:tplc="040A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9">
    <w:nsid w:val="64CF305F"/>
    <w:multiLevelType w:val="hybridMultilevel"/>
    <w:tmpl w:val="EE70E2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CC044F"/>
    <w:multiLevelType w:val="hybridMultilevel"/>
    <w:tmpl w:val="039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897082"/>
    <w:multiLevelType w:val="hybridMultilevel"/>
    <w:tmpl w:val="76D42CA4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7"/>
  </w:num>
  <w:num w:numId="14">
    <w:abstractNumId w:val="19"/>
  </w:num>
  <w:num w:numId="15">
    <w:abstractNumId w:val="5"/>
  </w:num>
  <w:num w:numId="16">
    <w:abstractNumId w:val="15"/>
  </w:num>
  <w:num w:numId="17">
    <w:abstractNumId w:val="21"/>
  </w:num>
  <w:num w:numId="18">
    <w:abstractNumId w:val="2"/>
  </w:num>
  <w:num w:numId="19">
    <w:abstractNumId w:val="10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6D"/>
    <w:rsid w:val="00B2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</Words>
  <Characters>108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/>
  <dc:creator>Jose Manuel Pampin</dc:creator>
  <cp:keywords/>
  <dc:description/>
  <cp:lastModifiedBy>SAGARDOZALE</cp:lastModifiedBy>
  <cp:revision>2</cp:revision>
  <cp:lastPrinted>2017-07-17T08:41:00Z</cp:lastPrinted>
  <dcterms:created xsi:type="dcterms:W3CDTF">2018-01-12T13:53:00Z</dcterms:created>
  <dcterms:modified xsi:type="dcterms:W3CDTF">2018-01-12T13:53:00Z</dcterms:modified>
</cp:coreProperties>
</file>